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58B3" w14:textId="43A5C60E" w:rsidR="00D676CB" w:rsidRDefault="00D676CB" w:rsidP="00D676CB">
      <w:pPr>
        <w:pStyle w:val="Title"/>
        <w:jc w:val="center"/>
      </w:pPr>
      <w:r>
        <w:t>Call for Applications:</w:t>
      </w:r>
    </w:p>
    <w:p w14:paraId="34A4394A" w14:textId="405E145F" w:rsidR="00316DD4" w:rsidRDefault="00D676CB" w:rsidP="00D676CB">
      <w:pPr>
        <w:pStyle w:val="Title"/>
        <w:jc w:val="center"/>
      </w:pPr>
      <w:r>
        <w:t>USask’s NSERC USRA Adjudication Committee</w:t>
      </w:r>
    </w:p>
    <w:p w14:paraId="59A1439F" w14:textId="77777777" w:rsidR="00D676CB" w:rsidRDefault="00D676CB" w:rsidP="00D676CB"/>
    <w:p w14:paraId="107FFB8E" w14:textId="2E85AF9B" w:rsidR="00F22BDA" w:rsidRDefault="00D676CB" w:rsidP="00F40054">
      <w:r>
        <w:t xml:space="preserve">USask faculty are invited to submit applications to join </w:t>
      </w:r>
      <w:proofErr w:type="spellStart"/>
      <w:r>
        <w:t>USASk’s</w:t>
      </w:r>
      <w:proofErr w:type="spellEnd"/>
      <w:r>
        <w:t xml:space="preserve"> NSERC USRA Adjudication Committee</w:t>
      </w:r>
      <w:r w:rsidR="00F22BDA">
        <w:t xml:space="preserve">!  Please complete the </w:t>
      </w:r>
      <w:hyperlink r:id="rId6" w:history="1">
        <w:r w:rsidR="00F22BDA" w:rsidRPr="00A22463">
          <w:rPr>
            <w:rStyle w:val="Hyperlink"/>
          </w:rPr>
          <w:t>Application Form</w:t>
        </w:r>
      </w:hyperlink>
      <w:r w:rsidR="00F22BDA">
        <w:t xml:space="preserve"> by January 1</w:t>
      </w:r>
      <w:r w:rsidR="00B97734">
        <w:t>7</w:t>
      </w:r>
      <w:r w:rsidR="00F22BDA" w:rsidRPr="00F22BDA">
        <w:rPr>
          <w:vertAlign w:val="superscript"/>
        </w:rPr>
        <w:t>th</w:t>
      </w:r>
      <w:proofErr w:type="gramStart"/>
      <w:r w:rsidR="00F22BDA">
        <w:t xml:space="preserve"> 2024</w:t>
      </w:r>
      <w:proofErr w:type="gramEnd"/>
      <w:r w:rsidR="00F22BDA">
        <w:t>. Committee members will be selected and contacted by January 1</w:t>
      </w:r>
      <w:r w:rsidR="00B97734">
        <w:t>8</w:t>
      </w:r>
      <w:r w:rsidR="00F22BDA" w:rsidRPr="00F22BDA">
        <w:rPr>
          <w:vertAlign w:val="superscript"/>
        </w:rPr>
        <w:t>th</w:t>
      </w:r>
      <w:r w:rsidR="00F22BDA">
        <w:t xml:space="preserve">. </w:t>
      </w:r>
    </w:p>
    <w:p w14:paraId="58E82BA8" w14:textId="431AD973" w:rsidR="00F40054" w:rsidRDefault="00F40054" w:rsidP="00F40054">
      <w:r>
        <w:t>The Terms of Reference (included below) outlines the Committee’s Mandate, Membership Criteria, and Review Process.  More details regarding dates for the 2024 process are included below.</w:t>
      </w:r>
    </w:p>
    <w:p w14:paraId="6A6149E6" w14:textId="339E6C82" w:rsidR="00F40054" w:rsidRDefault="00F40054" w:rsidP="00F40054">
      <w:r>
        <w:t xml:space="preserve">Please contact Mandy Fehr (Coordinator, Undergraduate Research, Scholarly, and Artistic Work) at </w:t>
      </w:r>
      <w:hyperlink r:id="rId7" w:history="1">
        <w:r w:rsidRPr="00F40054">
          <w:rPr>
            <w:rStyle w:val="Hyperlink"/>
            <w:color w:val="006841"/>
          </w:rPr>
          <w:t>mandy.fehr@usask.ca</w:t>
        </w:r>
      </w:hyperlink>
      <w:r>
        <w:t xml:space="preserve"> with any questions about the application process. </w:t>
      </w:r>
    </w:p>
    <w:p w14:paraId="3726DCFA" w14:textId="77777777" w:rsidR="00F22BDA" w:rsidRDefault="00F22BDA" w:rsidP="00F22BDA">
      <w:pPr>
        <w:pStyle w:val="Heading3"/>
      </w:pPr>
    </w:p>
    <w:p w14:paraId="699A77F9" w14:textId="77777777" w:rsidR="00F22BDA" w:rsidRDefault="00F22BDA" w:rsidP="00F22BDA">
      <w:pPr>
        <w:pStyle w:val="Heading3"/>
      </w:pPr>
      <w:r>
        <w:t xml:space="preserve">Important Dates: </w:t>
      </w:r>
    </w:p>
    <w:p w14:paraId="2F30BDEF" w14:textId="51B2F4C3" w:rsidR="00F22BDA" w:rsidRDefault="007D3BA3" w:rsidP="007D3BA3">
      <w:r>
        <w:t>January 1</w:t>
      </w:r>
      <w:r w:rsidR="00B97734">
        <w:t>7</w:t>
      </w:r>
      <w:r w:rsidRPr="007D3BA3">
        <w:rPr>
          <w:vertAlign w:val="superscript"/>
        </w:rPr>
        <w:t>th</w:t>
      </w:r>
      <w:r>
        <w:t xml:space="preserve"> 2024: Applications Due</w:t>
      </w:r>
      <w:r w:rsidR="00B97734">
        <w:t xml:space="preserve"> (Extended)</w:t>
      </w:r>
    </w:p>
    <w:p w14:paraId="3616D54F" w14:textId="16499FEB" w:rsidR="007D3BA3" w:rsidRDefault="007D3BA3" w:rsidP="007D3BA3">
      <w:r>
        <w:t>January 1</w:t>
      </w:r>
      <w:r w:rsidR="00B97734">
        <w:t>8</w:t>
      </w:r>
      <w:r w:rsidRPr="007D3BA3">
        <w:rPr>
          <w:vertAlign w:val="superscript"/>
        </w:rPr>
        <w:t>th</w:t>
      </w:r>
      <w:proofErr w:type="gramStart"/>
      <w:r>
        <w:t xml:space="preserve"> 2024</w:t>
      </w:r>
      <w:proofErr w:type="gramEnd"/>
      <w:r>
        <w:t>: Adjudication Committee Members Selected and Notified</w:t>
      </w:r>
    </w:p>
    <w:p w14:paraId="514D0DFA" w14:textId="6311A02C" w:rsidR="007D3BA3" w:rsidRDefault="007D3BA3" w:rsidP="007D3BA3">
      <w:r>
        <w:t>January 25</w:t>
      </w:r>
      <w:r w:rsidRPr="007D3BA3">
        <w:rPr>
          <w:vertAlign w:val="superscript"/>
        </w:rPr>
        <w:t>th</w:t>
      </w:r>
      <w:proofErr w:type="gramStart"/>
      <w:r>
        <w:t xml:space="preserve"> </w:t>
      </w:r>
      <w:r w:rsidR="004E69E5">
        <w:t>2024</w:t>
      </w:r>
      <w:proofErr w:type="gramEnd"/>
      <w:r w:rsidR="004E69E5">
        <w:t xml:space="preserve"> </w:t>
      </w:r>
      <w:r>
        <w:t xml:space="preserve">at 3:00 pm: </w:t>
      </w:r>
      <w:r w:rsidR="004E69E5">
        <w:t>Adjudication Committee Meeting – Process Review and Calibration</w:t>
      </w:r>
    </w:p>
    <w:p w14:paraId="3454CD9C" w14:textId="111BFFA1" w:rsidR="004E69E5" w:rsidRDefault="004E69E5" w:rsidP="007D3BA3">
      <w:r>
        <w:t>January 31</w:t>
      </w:r>
      <w:r w:rsidRPr="004E69E5">
        <w:rPr>
          <w:vertAlign w:val="superscript"/>
        </w:rPr>
        <w:t>st</w:t>
      </w:r>
      <w:proofErr w:type="gramStart"/>
      <w:r>
        <w:t xml:space="preserve"> 2024</w:t>
      </w:r>
      <w:proofErr w:type="gramEnd"/>
      <w:r>
        <w:t>: Applications Due</w:t>
      </w:r>
    </w:p>
    <w:p w14:paraId="4D478F31" w14:textId="44B9A46D" w:rsidR="004E69E5" w:rsidRDefault="004E69E5" w:rsidP="007D3BA3">
      <w:r>
        <w:t>February 12</w:t>
      </w:r>
      <w:r w:rsidRPr="004E69E5">
        <w:rPr>
          <w:vertAlign w:val="superscript"/>
        </w:rPr>
        <w:t>th</w:t>
      </w:r>
      <w:proofErr w:type="gramStart"/>
      <w:r>
        <w:t xml:space="preserve"> 2024</w:t>
      </w:r>
      <w:proofErr w:type="gramEnd"/>
      <w:r>
        <w:t xml:space="preserve">: Adjudicator Evaluations Due </w:t>
      </w:r>
    </w:p>
    <w:p w14:paraId="2B421D72" w14:textId="59AFB725" w:rsidR="004E69E5" w:rsidRDefault="004E69E5" w:rsidP="007D3BA3">
      <w:r>
        <w:t>February 14</w:t>
      </w:r>
      <w:r w:rsidRPr="004E69E5">
        <w:rPr>
          <w:vertAlign w:val="superscript"/>
        </w:rPr>
        <w:t>th</w:t>
      </w:r>
      <w:proofErr w:type="gramStart"/>
      <w:r>
        <w:t xml:space="preserve"> 2024</w:t>
      </w:r>
      <w:proofErr w:type="gramEnd"/>
      <w:r>
        <w:t xml:space="preserve"> 3:30 pm: Adjudication Meeting</w:t>
      </w:r>
    </w:p>
    <w:p w14:paraId="5923C3D8" w14:textId="4ED6E69A" w:rsidR="004E69E5" w:rsidRDefault="004E69E5" w:rsidP="007D3BA3">
      <w:r>
        <w:t>February 15</w:t>
      </w:r>
      <w:r w:rsidRPr="004E69E5">
        <w:rPr>
          <w:vertAlign w:val="superscript"/>
        </w:rPr>
        <w:t>th</w:t>
      </w:r>
      <w:proofErr w:type="gramStart"/>
      <w:r>
        <w:t xml:space="preserve"> 2024</w:t>
      </w:r>
      <w:proofErr w:type="gramEnd"/>
      <w:r>
        <w:t xml:space="preserve"> 3:30 pm: Adjudication Meeting (if required)</w:t>
      </w:r>
    </w:p>
    <w:p w14:paraId="773EC50C" w14:textId="7FE1986D" w:rsidR="004E69E5" w:rsidRDefault="004E69E5" w:rsidP="007D3BA3">
      <w:r>
        <w:t>February Break: Students Notified</w:t>
      </w:r>
    </w:p>
    <w:p w14:paraId="538CE160" w14:textId="65F97CAC" w:rsidR="00D676CB" w:rsidRPr="00D676CB" w:rsidRDefault="00F22BDA" w:rsidP="00F22BDA">
      <w:pPr>
        <w:pStyle w:val="Heading3"/>
      </w:pPr>
      <w:r>
        <w:t xml:space="preserve"> </w:t>
      </w:r>
    </w:p>
    <w:p w14:paraId="7F570287" w14:textId="77777777" w:rsidR="00835EF2" w:rsidRDefault="00835EF2" w:rsidP="008A5431">
      <w:pPr>
        <w:spacing w:before="12" w:line="341" w:lineRule="exact"/>
        <w:jc w:val="center"/>
        <w:textAlignment w:val="baseline"/>
        <w:rPr>
          <w:rFonts w:eastAsia="Calibri" w:cstheme="minorHAnsi"/>
          <w:b/>
          <w:color w:val="006841"/>
          <w:sz w:val="24"/>
          <w:szCs w:val="24"/>
        </w:rPr>
      </w:pPr>
    </w:p>
    <w:p w14:paraId="1C9B0DB4" w14:textId="77777777" w:rsidR="00835EF2" w:rsidRDefault="00835EF2" w:rsidP="008A5431">
      <w:pPr>
        <w:spacing w:before="12" w:line="341" w:lineRule="exact"/>
        <w:jc w:val="center"/>
        <w:textAlignment w:val="baseline"/>
        <w:rPr>
          <w:rFonts w:eastAsia="Calibri" w:cstheme="minorHAnsi"/>
          <w:b/>
          <w:color w:val="006841"/>
          <w:sz w:val="24"/>
          <w:szCs w:val="24"/>
        </w:rPr>
      </w:pPr>
    </w:p>
    <w:p w14:paraId="0241301A" w14:textId="77777777" w:rsidR="00835EF2" w:rsidRDefault="00835EF2" w:rsidP="008A5431">
      <w:pPr>
        <w:spacing w:before="12" w:line="341" w:lineRule="exact"/>
        <w:jc w:val="center"/>
        <w:textAlignment w:val="baseline"/>
        <w:rPr>
          <w:rFonts w:eastAsia="Calibri" w:cstheme="minorHAnsi"/>
          <w:b/>
          <w:color w:val="006841"/>
          <w:sz w:val="24"/>
          <w:szCs w:val="24"/>
        </w:rPr>
      </w:pPr>
    </w:p>
    <w:p w14:paraId="1D156F86" w14:textId="77777777" w:rsidR="00835EF2" w:rsidRDefault="00835EF2" w:rsidP="008A5431">
      <w:pPr>
        <w:spacing w:before="12" w:line="341" w:lineRule="exact"/>
        <w:jc w:val="center"/>
        <w:textAlignment w:val="baseline"/>
        <w:rPr>
          <w:rFonts w:eastAsia="Calibri" w:cstheme="minorHAnsi"/>
          <w:b/>
          <w:color w:val="006841"/>
          <w:sz w:val="24"/>
          <w:szCs w:val="24"/>
        </w:rPr>
      </w:pPr>
    </w:p>
    <w:p w14:paraId="4DA65CE0" w14:textId="77777777" w:rsidR="00835EF2" w:rsidRDefault="00835EF2" w:rsidP="008A5431">
      <w:pPr>
        <w:spacing w:before="12" w:line="341" w:lineRule="exact"/>
        <w:jc w:val="center"/>
        <w:textAlignment w:val="baseline"/>
        <w:rPr>
          <w:rFonts w:eastAsia="Calibri" w:cstheme="minorHAnsi"/>
          <w:b/>
          <w:color w:val="006841"/>
          <w:sz w:val="24"/>
          <w:szCs w:val="24"/>
        </w:rPr>
      </w:pPr>
    </w:p>
    <w:p w14:paraId="4CAEA708" w14:textId="77777777" w:rsidR="00835EF2" w:rsidRDefault="00835EF2" w:rsidP="008A5431">
      <w:pPr>
        <w:spacing w:before="12" w:line="341" w:lineRule="exact"/>
        <w:jc w:val="center"/>
        <w:textAlignment w:val="baseline"/>
        <w:rPr>
          <w:rFonts w:eastAsia="Calibri" w:cstheme="minorHAnsi"/>
          <w:b/>
          <w:color w:val="006841"/>
          <w:sz w:val="24"/>
          <w:szCs w:val="24"/>
        </w:rPr>
      </w:pPr>
    </w:p>
    <w:p w14:paraId="32D72F77" w14:textId="77777777" w:rsidR="00835EF2" w:rsidRDefault="00835EF2" w:rsidP="004E69E5">
      <w:pPr>
        <w:spacing w:before="12" w:line="341" w:lineRule="exact"/>
        <w:textAlignment w:val="baseline"/>
        <w:rPr>
          <w:rFonts w:eastAsia="Calibri" w:cstheme="minorHAnsi"/>
          <w:b/>
          <w:color w:val="006841"/>
          <w:sz w:val="24"/>
          <w:szCs w:val="24"/>
        </w:rPr>
      </w:pPr>
    </w:p>
    <w:p w14:paraId="135E2F77" w14:textId="0CA19D3D" w:rsidR="00F40054" w:rsidRDefault="00F40054">
      <w:pPr>
        <w:rPr>
          <w:rFonts w:asciiTheme="majorHAnsi" w:eastAsia="Calibri" w:hAnsiTheme="majorHAnsi" w:cstheme="majorBidi"/>
          <w:color w:val="006841"/>
          <w:sz w:val="32"/>
          <w:szCs w:val="32"/>
        </w:rPr>
      </w:pPr>
    </w:p>
    <w:p w14:paraId="5AA8A0AB" w14:textId="43A10589" w:rsidR="008A5431" w:rsidRPr="00AE792A" w:rsidRDefault="008A5431" w:rsidP="00F40054">
      <w:pPr>
        <w:pStyle w:val="Heading1"/>
        <w:jc w:val="center"/>
      </w:pPr>
      <w:r w:rsidRPr="00AE792A">
        <w:t>University of Saskatchewan NSERC USRA Adjudication Committee</w:t>
      </w:r>
    </w:p>
    <w:p w14:paraId="1228ACFF" w14:textId="07DA24D8" w:rsidR="008A5431" w:rsidRPr="00AE792A" w:rsidRDefault="008A5431" w:rsidP="00F40054">
      <w:pPr>
        <w:pStyle w:val="Heading1"/>
        <w:jc w:val="center"/>
      </w:pPr>
      <w:r w:rsidRPr="00AE792A">
        <w:t>Terms of Reference</w:t>
      </w:r>
    </w:p>
    <w:p w14:paraId="3D816331" w14:textId="21742708" w:rsidR="008A5431" w:rsidRPr="00AE792A" w:rsidRDefault="006B7171" w:rsidP="008A5431">
      <w:pPr>
        <w:spacing w:before="12" w:line="341" w:lineRule="exact"/>
        <w:jc w:val="center"/>
        <w:textAlignment w:val="baseline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December</w:t>
      </w:r>
      <w:r w:rsidRPr="00AE792A">
        <w:rPr>
          <w:rFonts w:eastAsia="Calibri" w:cstheme="minorHAnsi"/>
          <w:bCs/>
          <w:sz w:val="24"/>
          <w:szCs w:val="24"/>
        </w:rPr>
        <w:t xml:space="preserve"> </w:t>
      </w:r>
      <w:r w:rsidR="008A5431" w:rsidRPr="00AE792A">
        <w:rPr>
          <w:rFonts w:eastAsia="Calibri" w:cstheme="minorHAnsi"/>
          <w:bCs/>
          <w:sz w:val="24"/>
          <w:szCs w:val="24"/>
        </w:rPr>
        <w:t>2023</w:t>
      </w:r>
    </w:p>
    <w:p w14:paraId="27C71D41" w14:textId="77777777" w:rsidR="008A5431" w:rsidRPr="00BB602A" w:rsidRDefault="008A5431" w:rsidP="00F40054">
      <w:pPr>
        <w:pStyle w:val="Heading2"/>
      </w:pPr>
      <w:r w:rsidRPr="00BB602A">
        <w:t>MANDATE</w:t>
      </w:r>
    </w:p>
    <w:p w14:paraId="1CBA00E9" w14:textId="05DBE234" w:rsidR="008A5431" w:rsidRDefault="008A5431" w:rsidP="0021580D">
      <w:pPr>
        <w:spacing w:after="0" w:line="222" w:lineRule="exact"/>
        <w:textAlignment w:val="baseline"/>
        <w:rPr>
          <w:rFonts w:eastAsia="Calibri" w:cstheme="minorHAnsi"/>
          <w:sz w:val="24"/>
          <w:szCs w:val="24"/>
        </w:rPr>
      </w:pPr>
      <w:r w:rsidRPr="00BB602A">
        <w:rPr>
          <w:rFonts w:eastAsia="Calibri" w:cstheme="minorHAnsi"/>
          <w:color w:val="000000"/>
          <w:sz w:val="24"/>
          <w:szCs w:val="24"/>
        </w:rPr>
        <w:t xml:space="preserve">The University of Saskatchewan NSERC USRA Adjudication Committee adjudicates applications to the USask NSERC USRA competition and provides recommendations for funding to </w:t>
      </w:r>
      <w:r w:rsidRPr="00BB602A">
        <w:rPr>
          <w:rFonts w:eastAsia="Calibri" w:cstheme="minorHAnsi"/>
          <w:sz w:val="24"/>
          <w:szCs w:val="24"/>
        </w:rPr>
        <w:t xml:space="preserve">the </w:t>
      </w:r>
      <w:r w:rsidR="00BB2E7B" w:rsidRPr="00BB602A">
        <w:rPr>
          <w:rFonts w:eastAsia="Calibri" w:cstheme="minorHAnsi"/>
          <w:sz w:val="24"/>
          <w:szCs w:val="24"/>
        </w:rPr>
        <w:t>Coordinator for Undergraduate Research, Scholarly, and Artistic Work.</w:t>
      </w:r>
    </w:p>
    <w:p w14:paraId="313D9D45" w14:textId="77777777" w:rsidR="0021580D" w:rsidRPr="00BB602A" w:rsidRDefault="0021580D" w:rsidP="0021580D">
      <w:pPr>
        <w:spacing w:after="0" w:line="222" w:lineRule="exact"/>
        <w:textAlignment w:val="baseline"/>
        <w:rPr>
          <w:rFonts w:eastAsia="Calibri" w:cstheme="minorHAnsi"/>
          <w:sz w:val="24"/>
          <w:szCs w:val="24"/>
        </w:rPr>
      </w:pPr>
    </w:p>
    <w:p w14:paraId="26C1AA43" w14:textId="77777777" w:rsidR="008A5431" w:rsidRPr="00BB602A" w:rsidRDefault="008A5431" w:rsidP="00F40054">
      <w:pPr>
        <w:pStyle w:val="Heading2"/>
      </w:pPr>
      <w:r w:rsidRPr="00BB602A">
        <w:t>MEMBERSHIP</w:t>
      </w:r>
    </w:p>
    <w:p w14:paraId="2DEB409C" w14:textId="6B939D54" w:rsidR="0021580D" w:rsidRDefault="008A5431" w:rsidP="0021580D">
      <w:pPr>
        <w:spacing w:after="0" w:line="263" w:lineRule="exact"/>
        <w:ind w:right="432"/>
        <w:textAlignment w:val="baseline"/>
        <w:rPr>
          <w:rFonts w:eastAsia="Calibri" w:cstheme="minorHAnsi"/>
          <w:color w:val="000000"/>
          <w:sz w:val="24"/>
          <w:szCs w:val="24"/>
        </w:rPr>
      </w:pPr>
      <w:r w:rsidRPr="00BB602A">
        <w:rPr>
          <w:rFonts w:eastAsia="Calibri" w:cstheme="minorHAnsi"/>
          <w:color w:val="000000"/>
          <w:sz w:val="24"/>
          <w:szCs w:val="24"/>
        </w:rPr>
        <w:t xml:space="preserve">The USask NSERC USRA Adjudication Committee is comprised </w:t>
      </w:r>
      <w:r w:rsidR="006B7171">
        <w:rPr>
          <w:rFonts w:eastAsia="Calibri" w:cstheme="minorHAnsi"/>
          <w:color w:val="000000"/>
          <w:sz w:val="24"/>
          <w:szCs w:val="24"/>
        </w:rPr>
        <w:t>of up to 15</w:t>
      </w:r>
      <w:r w:rsidR="00A22463">
        <w:rPr>
          <w:rFonts w:eastAsia="Calibri" w:cstheme="minorHAnsi"/>
          <w:color w:val="000000"/>
          <w:sz w:val="24"/>
          <w:szCs w:val="24"/>
        </w:rPr>
        <w:t xml:space="preserve"> m</w:t>
      </w:r>
      <w:r w:rsidR="006B7171">
        <w:rPr>
          <w:rFonts w:eastAsia="Calibri" w:cstheme="minorHAnsi"/>
          <w:color w:val="000000"/>
          <w:sz w:val="24"/>
          <w:szCs w:val="24"/>
        </w:rPr>
        <w:t xml:space="preserve">embers plus two Committee Chairs. </w:t>
      </w:r>
      <w:r w:rsidR="00BB2E7B" w:rsidRPr="00BB602A">
        <w:rPr>
          <w:rFonts w:eastAsia="Calibri" w:cstheme="minorHAnsi"/>
          <w:color w:val="000000"/>
          <w:sz w:val="24"/>
          <w:szCs w:val="24"/>
        </w:rPr>
        <w:t xml:space="preserve">Members apply to serve on </w:t>
      </w:r>
      <w:r w:rsidRPr="00BB602A">
        <w:rPr>
          <w:rFonts w:eastAsia="Calibri" w:cstheme="minorHAnsi"/>
          <w:color w:val="000000"/>
          <w:sz w:val="24"/>
          <w:szCs w:val="24"/>
        </w:rPr>
        <w:t xml:space="preserve">the committee through an open </w:t>
      </w:r>
      <w:r w:rsidR="005A5BAF" w:rsidRPr="00BB602A">
        <w:rPr>
          <w:rFonts w:eastAsia="Calibri" w:cstheme="minorHAnsi"/>
          <w:color w:val="000000"/>
          <w:sz w:val="24"/>
          <w:szCs w:val="24"/>
        </w:rPr>
        <w:t>call and</w:t>
      </w:r>
      <w:r w:rsidRPr="00BB602A">
        <w:rPr>
          <w:rFonts w:eastAsia="Calibri" w:cstheme="minorHAnsi"/>
          <w:color w:val="000000"/>
          <w:sz w:val="24"/>
          <w:szCs w:val="24"/>
        </w:rPr>
        <w:t xml:space="preserve"> are selected based on their expertise </w:t>
      </w:r>
      <w:r w:rsidRPr="00BB602A">
        <w:rPr>
          <w:rFonts w:cstheme="minorHAnsi"/>
          <w:sz w:val="24"/>
          <w:szCs w:val="24"/>
        </w:rPr>
        <w:t>in natural sciences and/ or engineering research from a range of NSERC-fundable disciplines and to support the creation of a representative and equitable committee.  The Committee should include at least 25% of members from an Engineering related discipline and 25% of members from the natural sciences</w:t>
      </w:r>
      <w:r w:rsidR="00BB602A" w:rsidRPr="00BB602A">
        <w:rPr>
          <w:rFonts w:cstheme="minorHAnsi"/>
          <w:sz w:val="24"/>
          <w:szCs w:val="24"/>
        </w:rPr>
        <w:t xml:space="preserve">. </w:t>
      </w:r>
    </w:p>
    <w:p w14:paraId="018A3AA1" w14:textId="77777777" w:rsidR="0021580D" w:rsidRPr="0021580D" w:rsidRDefault="0021580D" w:rsidP="0021580D">
      <w:pPr>
        <w:spacing w:after="0" w:line="263" w:lineRule="exact"/>
        <w:ind w:right="432"/>
        <w:textAlignment w:val="baseline"/>
        <w:rPr>
          <w:rFonts w:eastAsia="Calibri" w:cstheme="minorHAnsi"/>
          <w:color w:val="000000"/>
          <w:sz w:val="24"/>
          <w:szCs w:val="24"/>
        </w:rPr>
      </w:pPr>
    </w:p>
    <w:p w14:paraId="3E375468" w14:textId="7A2D6F10" w:rsidR="008A5431" w:rsidRPr="00BB602A" w:rsidRDefault="008A5431" w:rsidP="00F40054">
      <w:pPr>
        <w:pStyle w:val="Heading3"/>
      </w:pPr>
      <w:r w:rsidRPr="00BB602A">
        <w:t>Committee Co-Chairs</w:t>
      </w:r>
    </w:p>
    <w:p w14:paraId="6BADE29C" w14:textId="2D3E8336" w:rsidR="008A5431" w:rsidRPr="00BB602A" w:rsidRDefault="008A5431" w:rsidP="008A5431">
      <w:pPr>
        <w:tabs>
          <w:tab w:val="left" w:pos="360"/>
          <w:tab w:val="left" w:pos="720"/>
        </w:tabs>
        <w:spacing w:before="35" w:line="233" w:lineRule="exact"/>
        <w:textAlignment w:val="baseline"/>
        <w:rPr>
          <w:rFonts w:eastAsia="Calibri" w:cstheme="minorHAnsi"/>
          <w:color w:val="000000"/>
          <w:sz w:val="24"/>
          <w:szCs w:val="24"/>
        </w:rPr>
      </w:pPr>
      <w:r w:rsidRPr="00BB602A">
        <w:rPr>
          <w:rFonts w:eastAsia="Calibri" w:cstheme="minorHAnsi"/>
          <w:color w:val="000000"/>
          <w:sz w:val="24"/>
          <w:szCs w:val="24"/>
        </w:rPr>
        <w:t xml:space="preserve">The Committee will select </w:t>
      </w:r>
      <w:r w:rsidR="006B7171">
        <w:rPr>
          <w:rFonts w:eastAsia="Calibri" w:cstheme="minorHAnsi"/>
          <w:color w:val="000000"/>
          <w:sz w:val="24"/>
          <w:szCs w:val="24"/>
        </w:rPr>
        <w:t>two Chairs – one with expertise in the natural sciences and the other in Engineering or applied sciences</w:t>
      </w:r>
      <w:r w:rsidRPr="00BB602A">
        <w:rPr>
          <w:rFonts w:eastAsia="Calibri" w:cstheme="minorHAnsi"/>
          <w:color w:val="000000"/>
          <w:sz w:val="24"/>
          <w:szCs w:val="24"/>
        </w:rPr>
        <w:t>. The Chair</w:t>
      </w:r>
      <w:r w:rsidR="006B7171">
        <w:rPr>
          <w:rFonts w:eastAsia="Calibri" w:cstheme="minorHAnsi"/>
          <w:color w:val="000000"/>
          <w:sz w:val="24"/>
          <w:szCs w:val="24"/>
        </w:rPr>
        <w:t>s</w:t>
      </w:r>
      <w:r w:rsidRPr="00BB602A">
        <w:rPr>
          <w:rFonts w:eastAsia="Calibri" w:cstheme="minorHAnsi"/>
          <w:color w:val="000000"/>
          <w:sz w:val="24"/>
          <w:szCs w:val="24"/>
        </w:rPr>
        <w:t xml:space="preserve"> will work with the Committee Coordinator to</w:t>
      </w:r>
      <w:r w:rsidR="00BB2E7B" w:rsidRPr="00BB602A">
        <w:rPr>
          <w:rFonts w:eastAsia="Calibri" w:cstheme="minorHAnsi"/>
          <w:color w:val="000000"/>
          <w:sz w:val="24"/>
          <w:szCs w:val="24"/>
        </w:rPr>
        <w:t xml:space="preserve"> </w:t>
      </w:r>
      <w:r w:rsidRPr="00BB602A">
        <w:rPr>
          <w:rFonts w:eastAsia="Calibri" w:cstheme="minorHAnsi"/>
          <w:color w:val="000000"/>
          <w:sz w:val="24"/>
          <w:szCs w:val="24"/>
        </w:rPr>
        <w:t xml:space="preserve">assign reviewers to applications. </w:t>
      </w:r>
      <w:r w:rsidR="005A5BAF" w:rsidRPr="00BB602A">
        <w:rPr>
          <w:rFonts w:eastAsia="Calibri" w:cstheme="minorHAnsi"/>
          <w:color w:val="000000"/>
          <w:sz w:val="24"/>
          <w:szCs w:val="24"/>
        </w:rPr>
        <w:t>The r</w:t>
      </w:r>
      <w:r w:rsidRPr="00BB602A">
        <w:rPr>
          <w:rFonts w:eastAsia="Calibri" w:cstheme="minorHAnsi"/>
          <w:color w:val="000000"/>
          <w:sz w:val="24"/>
          <w:szCs w:val="24"/>
        </w:rPr>
        <w:t xml:space="preserve">ole of the </w:t>
      </w:r>
      <w:r w:rsidR="006B7171">
        <w:rPr>
          <w:rFonts w:eastAsia="Calibri" w:cstheme="minorHAnsi"/>
          <w:color w:val="000000"/>
          <w:sz w:val="24"/>
          <w:szCs w:val="24"/>
        </w:rPr>
        <w:t xml:space="preserve">Chairs </w:t>
      </w:r>
      <w:r w:rsidR="00A22463">
        <w:rPr>
          <w:rFonts w:eastAsia="Calibri" w:cstheme="minorHAnsi"/>
          <w:color w:val="000000"/>
          <w:sz w:val="24"/>
          <w:szCs w:val="24"/>
        </w:rPr>
        <w:t>is</w:t>
      </w:r>
      <w:r w:rsidRPr="00BB602A">
        <w:rPr>
          <w:rFonts w:eastAsia="Calibri" w:cstheme="minorHAnsi"/>
          <w:color w:val="000000"/>
          <w:sz w:val="24"/>
          <w:szCs w:val="24"/>
        </w:rPr>
        <w:t xml:space="preserve"> further outlined under Review Process. </w:t>
      </w:r>
    </w:p>
    <w:p w14:paraId="08DB69CB" w14:textId="63302456" w:rsidR="008A5431" w:rsidRPr="00BB602A" w:rsidRDefault="008A5431" w:rsidP="00F40054">
      <w:pPr>
        <w:pStyle w:val="Heading3"/>
      </w:pPr>
      <w:r w:rsidRPr="00BB602A">
        <w:t xml:space="preserve">Committee </w:t>
      </w:r>
      <w:r w:rsidR="00F40054">
        <w:t>M</w:t>
      </w:r>
      <w:r w:rsidRPr="00BB602A">
        <w:t>embers:</w:t>
      </w:r>
    </w:p>
    <w:p w14:paraId="50A7367D" w14:textId="3E206EC7" w:rsidR="005A5BAF" w:rsidRPr="00BB602A" w:rsidRDefault="006B7171" w:rsidP="005A5BAF">
      <w:pPr>
        <w:numPr>
          <w:ilvl w:val="0"/>
          <w:numId w:val="19"/>
        </w:numPr>
        <w:tabs>
          <w:tab w:val="clear" w:pos="360"/>
          <w:tab w:val="left" w:pos="720"/>
        </w:tabs>
        <w:spacing w:after="0" w:line="268" w:lineRule="exact"/>
        <w:ind w:left="720" w:right="576" w:hanging="360"/>
        <w:jc w:val="both"/>
        <w:textAlignment w:val="baseline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Must q</w:t>
      </w:r>
      <w:r w:rsidR="008A5431" w:rsidRPr="00BB602A">
        <w:rPr>
          <w:rFonts w:eastAsia="Calibri" w:cstheme="minorHAnsi"/>
          <w:color w:val="000000"/>
          <w:sz w:val="24"/>
          <w:szCs w:val="24"/>
        </w:rPr>
        <w:t xml:space="preserve">ualify to apply for NSERC funding, with a preference given to those who have held </w:t>
      </w:r>
      <w:r w:rsidR="00BB2E7B" w:rsidRPr="00BB602A">
        <w:rPr>
          <w:rFonts w:eastAsia="Calibri" w:cstheme="minorHAnsi"/>
          <w:color w:val="000000"/>
          <w:sz w:val="24"/>
          <w:szCs w:val="24"/>
        </w:rPr>
        <w:t xml:space="preserve">Tri-Agency </w:t>
      </w:r>
      <w:proofErr w:type="gramStart"/>
      <w:r w:rsidR="00BB2E7B" w:rsidRPr="00BB602A">
        <w:rPr>
          <w:rFonts w:eastAsia="Calibri" w:cstheme="minorHAnsi"/>
          <w:color w:val="000000"/>
          <w:sz w:val="24"/>
          <w:szCs w:val="24"/>
        </w:rPr>
        <w:t>funds</w:t>
      </w:r>
      <w:r w:rsidR="005A5BAF" w:rsidRPr="00BB602A">
        <w:rPr>
          <w:rFonts w:eastAsia="Calibri" w:cstheme="minorHAnsi"/>
          <w:color w:val="000000"/>
          <w:sz w:val="24"/>
          <w:szCs w:val="24"/>
        </w:rPr>
        <w:t>;</w:t>
      </w:r>
      <w:proofErr w:type="gramEnd"/>
    </w:p>
    <w:p w14:paraId="762E90F1" w14:textId="08109E7A" w:rsidR="005A5BAF" w:rsidRPr="00BB602A" w:rsidRDefault="005A5BAF" w:rsidP="005A5BAF">
      <w:pPr>
        <w:numPr>
          <w:ilvl w:val="0"/>
          <w:numId w:val="19"/>
        </w:numPr>
        <w:tabs>
          <w:tab w:val="clear" w:pos="360"/>
          <w:tab w:val="left" w:pos="720"/>
        </w:tabs>
        <w:spacing w:after="0" w:line="268" w:lineRule="exact"/>
        <w:ind w:left="720" w:right="576" w:hanging="360"/>
        <w:jc w:val="both"/>
        <w:textAlignment w:val="baseline"/>
        <w:rPr>
          <w:rFonts w:eastAsia="Calibri" w:cstheme="minorHAnsi"/>
          <w:color w:val="000000"/>
          <w:sz w:val="24"/>
          <w:szCs w:val="24"/>
        </w:rPr>
      </w:pPr>
      <w:r w:rsidRPr="00BB602A">
        <w:rPr>
          <w:rFonts w:eastAsia="Calibri" w:cstheme="minorHAnsi"/>
          <w:color w:val="000000"/>
          <w:sz w:val="24"/>
          <w:szCs w:val="24"/>
        </w:rPr>
        <w:t xml:space="preserve">Demonstrate a commitment to mentoring and training </w:t>
      </w:r>
      <w:r w:rsidR="006B7171">
        <w:rPr>
          <w:rFonts w:eastAsia="Calibri" w:cstheme="minorHAnsi"/>
          <w:color w:val="000000"/>
          <w:sz w:val="24"/>
          <w:szCs w:val="24"/>
        </w:rPr>
        <w:t xml:space="preserve">undergraduate </w:t>
      </w:r>
      <w:r w:rsidRPr="00BB602A">
        <w:rPr>
          <w:rFonts w:eastAsia="Calibri" w:cstheme="minorHAnsi"/>
          <w:color w:val="000000"/>
          <w:sz w:val="24"/>
          <w:szCs w:val="24"/>
        </w:rPr>
        <w:t xml:space="preserve">student </w:t>
      </w:r>
      <w:proofErr w:type="gramStart"/>
      <w:r w:rsidRPr="00BB602A">
        <w:rPr>
          <w:rFonts w:eastAsia="Calibri" w:cstheme="minorHAnsi"/>
          <w:color w:val="000000"/>
          <w:sz w:val="24"/>
          <w:szCs w:val="24"/>
        </w:rPr>
        <w:t>researchers;</w:t>
      </w:r>
      <w:proofErr w:type="gramEnd"/>
    </w:p>
    <w:p w14:paraId="236BD7CA" w14:textId="2470554C" w:rsidR="008A5431" w:rsidRPr="00BB602A" w:rsidRDefault="008A5431" w:rsidP="0011723A">
      <w:pPr>
        <w:numPr>
          <w:ilvl w:val="0"/>
          <w:numId w:val="19"/>
        </w:numPr>
        <w:tabs>
          <w:tab w:val="clear" w:pos="360"/>
          <w:tab w:val="left" w:pos="720"/>
        </w:tabs>
        <w:spacing w:before="2" w:after="0" w:line="268" w:lineRule="exact"/>
        <w:ind w:left="720" w:right="720" w:hanging="360"/>
        <w:textAlignment w:val="baseline"/>
        <w:rPr>
          <w:rFonts w:eastAsia="Calibri" w:cstheme="minorHAnsi"/>
          <w:color w:val="000000"/>
          <w:sz w:val="24"/>
          <w:szCs w:val="24"/>
        </w:rPr>
      </w:pPr>
      <w:r w:rsidRPr="00BB602A">
        <w:rPr>
          <w:rFonts w:eastAsia="Calibri" w:cstheme="minorHAnsi"/>
          <w:color w:val="000000"/>
          <w:sz w:val="24"/>
          <w:szCs w:val="24"/>
        </w:rPr>
        <w:t xml:space="preserve">Must be affiliated with the University of Saskatchewan in a </w:t>
      </w:r>
      <w:r w:rsidR="006B7171">
        <w:rPr>
          <w:rFonts w:eastAsia="Calibri" w:cstheme="minorHAnsi"/>
          <w:color w:val="000000"/>
          <w:sz w:val="24"/>
          <w:szCs w:val="24"/>
        </w:rPr>
        <w:t xml:space="preserve">tenure, </w:t>
      </w:r>
      <w:r w:rsidRPr="00BB602A">
        <w:rPr>
          <w:rFonts w:eastAsia="Calibri" w:cstheme="minorHAnsi"/>
          <w:color w:val="000000"/>
          <w:sz w:val="24"/>
          <w:szCs w:val="24"/>
        </w:rPr>
        <w:t>tenure track or term position</w:t>
      </w:r>
      <w:r w:rsidR="005A5BAF" w:rsidRPr="00BB602A">
        <w:rPr>
          <w:rFonts w:eastAsia="Calibri" w:cstheme="minorHAnsi"/>
          <w:color w:val="000000"/>
          <w:sz w:val="24"/>
          <w:szCs w:val="24"/>
        </w:rPr>
        <w:t>.</w:t>
      </w:r>
    </w:p>
    <w:p w14:paraId="6D9DAFF7" w14:textId="77777777" w:rsidR="005A5BAF" w:rsidRPr="00BB602A" w:rsidRDefault="005A5BAF" w:rsidP="005A5BAF">
      <w:pPr>
        <w:tabs>
          <w:tab w:val="left" w:pos="360"/>
          <w:tab w:val="left" w:pos="720"/>
        </w:tabs>
        <w:spacing w:before="2" w:after="0" w:line="268" w:lineRule="exact"/>
        <w:ind w:right="720"/>
        <w:textAlignment w:val="baseline"/>
        <w:rPr>
          <w:rFonts w:eastAsia="Calibri" w:cstheme="minorHAnsi"/>
          <w:color w:val="000000"/>
          <w:sz w:val="24"/>
          <w:szCs w:val="24"/>
        </w:rPr>
      </w:pPr>
    </w:p>
    <w:p w14:paraId="23149EB0" w14:textId="33F4D8CB" w:rsidR="005A5BAF" w:rsidRPr="00BB602A" w:rsidRDefault="005A5BAF" w:rsidP="005A5BAF">
      <w:pPr>
        <w:tabs>
          <w:tab w:val="left" w:pos="360"/>
          <w:tab w:val="left" w:pos="720"/>
        </w:tabs>
        <w:spacing w:before="2" w:after="0" w:line="268" w:lineRule="exact"/>
        <w:ind w:right="720"/>
        <w:textAlignment w:val="baseline"/>
        <w:rPr>
          <w:rFonts w:eastAsia="Calibri" w:cstheme="minorHAnsi"/>
          <w:color w:val="000000"/>
          <w:sz w:val="24"/>
          <w:szCs w:val="24"/>
        </w:rPr>
      </w:pPr>
      <w:r w:rsidRPr="00BB602A">
        <w:rPr>
          <w:rFonts w:eastAsia="Calibri" w:cstheme="minorHAnsi"/>
          <w:color w:val="000000"/>
          <w:sz w:val="24"/>
          <w:szCs w:val="24"/>
        </w:rPr>
        <w:t xml:space="preserve">The Committee should reflect the diversity of the community we </w:t>
      </w:r>
      <w:r w:rsidR="00BB602A" w:rsidRPr="00BB602A">
        <w:rPr>
          <w:rFonts w:eastAsia="Calibri" w:cstheme="minorHAnsi"/>
          <w:color w:val="000000"/>
          <w:sz w:val="24"/>
          <w:szCs w:val="24"/>
        </w:rPr>
        <w:t>serve and</w:t>
      </w:r>
      <w:r w:rsidRPr="00BB602A">
        <w:rPr>
          <w:rFonts w:eastAsia="Calibri" w:cstheme="minorHAnsi"/>
          <w:color w:val="000000"/>
          <w:sz w:val="24"/>
          <w:szCs w:val="24"/>
        </w:rPr>
        <w:t xml:space="preserve"> include researchers at all stages of their careers. </w:t>
      </w:r>
      <w:r w:rsidR="00BB602A" w:rsidRPr="00BB602A">
        <w:rPr>
          <w:rFonts w:eastAsia="Calibri" w:cstheme="minorHAnsi"/>
          <w:color w:val="000000"/>
          <w:sz w:val="24"/>
          <w:szCs w:val="24"/>
        </w:rPr>
        <w:t>The Committee values interdisciplinarity and welcome</w:t>
      </w:r>
      <w:r w:rsidR="006B7171">
        <w:rPr>
          <w:rFonts w:eastAsia="Calibri" w:cstheme="minorHAnsi"/>
          <w:color w:val="000000"/>
          <w:sz w:val="24"/>
          <w:szCs w:val="24"/>
        </w:rPr>
        <w:t>s</w:t>
      </w:r>
      <w:r w:rsidR="00BB602A" w:rsidRPr="00BB602A">
        <w:rPr>
          <w:rFonts w:eastAsia="Calibri" w:cstheme="minorHAnsi"/>
          <w:color w:val="000000"/>
          <w:sz w:val="24"/>
          <w:szCs w:val="24"/>
        </w:rPr>
        <w:t xml:space="preserve"> researchers with experience with SSHRC and CIHR in addition to NSERC.</w:t>
      </w:r>
    </w:p>
    <w:p w14:paraId="559B619C" w14:textId="77777777" w:rsidR="005A5BAF" w:rsidRPr="00BB602A" w:rsidRDefault="005A5BAF" w:rsidP="005A5BAF">
      <w:pPr>
        <w:tabs>
          <w:tab w:val="left" w:pos="720"/>
        </w:tabs>
        <w:spacing w:before="2" w:after="0" w:line="268" w:lineRule="exact"/>
        <w:ind w:right="720"/>
        <w:textAlignment w:val="baseline"/>
        <w:rPr>
          <w:rFonts w:eastAsia="Calibri" w:cstheme="minorHAnsi"/>
          <w:color w:val="000000"/>
          <w:sz w:val="24"/>
          <w:szCs w:val="24"/>
        </w:rPr>
      </w:pPr>
    </w:p>
    <w:p w14:paraId="7B422264" w14:textId="4022D865" w:rsidR="008A5431" w:rsidRPr="00BB602A" w:rsidRDefault="008A5431" w:rsidP="008A5431">
      <w:pPr>
        <w:rPr>
          <w:rFonts w:cstheme="minorHAnsi"/>
        </w:rPr>
      </w:pPr>
      <w:r w:rsidRPr="00BB602A">
        <w:rPr>
          <w:rFonts w:eastAsia="Calibri" w:cstheme="minorHAnsi"/>
          <w:color w:val="000000"/>
          <w:sz w:val="24"/>
          <w:szCs w:val="24"/>
        </w:rPr>
        <w:t xml:space="preserve">The USask NSERC USRA Adjudication Committee is coordinated by the Coordinator, Undergraduate Research, Scholarly, and Artistic Work </w:t>
      </w:r>
      <w:r w:rsidR="00D676CB">
        <w:rPr>
          <w:rFonts w:eastAsia="Calibri" w:cstheme="minorHAnsi"/>
          <w:color w:val="000000"/>
          <w:sz w:val="24"/>
          <w:szCs w:val="24"/>
        </w:rPr>
        <w:t xml:space="preserve">(Coordinator) </w:t>
      </w:r>
      <w:r w:rsidRPr="00BB602A">
        <w:rPr>
          <w:rFonts w:eastAsia="Calibri" w:cstheme="minorHAnsi"/>
          <w:color w:val="000000"/>
          <w:sz w:val="24"/>
          <w:szCs w:val="24"/>
        </w:rPr>
        <w:t xml:space="preserve">and receives administrative support from RASI.   </w:t>
      </w:r>
    </w:p>
    <w:p w14:paraId="332E5781" w14:textId="77777777" w:rsidR="008A5431" w:rsidRPr="00BB602A" w:rsidRDefault="008A5431" w:rsidP="00F40054">
      <w:pPr>
        <w:pStyle w:val="Heading2"/>
      </w:pPr>
      <w:r w:rsidRPr="00BB602A">
        <w:t>APPOINTMENT</w:t>
      </w:r>
    </w:p>
    <w:p w14:paraId="2B47338F" w14:textId="73A876A4" w:rsidR="00F40054" w:rsidRPr="00F40054" w:rsidRDefault="008A5431" w:rsidP="00F40054">
      <w:pPr>
        <w:spacing w:line="268" w:lineRule="exact"/>
        <w:ind w:right="72"/>
        <w:textAlignment w:val="baseline"/>
        <w:rPr>
          <w:rFonts w:eastAsia="Calibri" w:cstheme="minorHAnsi"/>
          <w:color w:val="000000"/>
          <w:spacing w:val="-1"/>
          <w:sz w:val="24"/>
          <w:szCs w:val="24"/>
        </w:rPr>
      </w:pPr>
      <w:r w:rsidRPr="00BB602A">
        <w:rPr>
          <w:rFonts w:eastAsia="Calibri" w:cstheme="minorHAnsi"/>
          <w:color w:val="000000"/>
          <w:spacing w:val="-1"/>
          <w:sz w:val="24"/>
          <w:szCs w:val="24"/>
        </w:rPr>
        <w:t xml:space="preserve">Committee member terms are </w:t>
      </w:r>
      <w:r w:rsidR="006B7171">
        <w:rPr>
          <w:rFonts w:eastAsia="Calibri" w:cstheme="minorHAnsi"/>
          <w:color w:val="000000"/>
          <w:spacing w:val="-1"/>
          <w:sz w:val="24"/>
          <w:szCs w:val="24"/>
        </w:rPr>
        <w:t>appointed</w:t>
      </w:r>
      <w:r w:rsidR="006B7171" w:rsidRPr="00BB602A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BB602A">
        <w:rPr>
          <w:rFonts w:eastAsia="Calibri" w:cstheme="minorHAnsi"/>
          <w:color w:val="000000"/>
          <w:spacing w:val="-1"/>
          <w:sz w:val="24"/>
          <w:szCs w:val="24"/>
        </w:rPr>
        <w:t>for 3-years, renewable once upon approval by the Chair</w:t>
      </w:r>
      <w:r w:rsidR="00E21948">
        <w:rPr>
          <w:rFonts w:eastAsia="Calibri" w:cstheme="minorHAnsi"/>
          <w:color w:val="000000"/>
          <w:spacing w:val="-1"/>
          <w:sz w:val="24"/>
          <w:szCs w:val="24"/>
        </w:rPr>
        <w:t xml:space="preserve">s. </w:t>
      </w:r>
      <w:r w:rsidRPr="00BB602A">
        <w:rPr>
          <w:rFonts w:eastAsia="Calibri" w:cstheme="minorHAnsi"/>
          <w:color w:val="000000"/>
          <w:spacing w:val="-1"/>
          <w:sz w:val="24"/>
          <w:szCs w:val="24"/>
        </w:rPr>
        <w:t xml:space="preserve">One- or two-year term appointments may be made to ensure that turnover for the Committee does not exceed one-third in any given calendar year. </w:t>
      </w:r>
    </w:p>
    <w:p w14:paraId="2CC247A0" w14:textId="2ABCE26D" w:rsidR="0021580D" w:rsidRDefault="008A5431" w:rsidP="00F40054">
      <w:pPr>
        <w:pStyle w:val="Heading2"/>
      </w:pPr>
      <w:r w:rsidRPr="00BB602A">
        <w:lastRenderedPageBreak/>
        <w:t>REVIEW PROCESS</w:t>
      </w:r>
    </w:p>
    <w:p w14:paraId="66A73EE4" w14:textId="7AC4D58B" w:rsidR="008A5431" w:rsidRPr="0021580D" w:rsidRDefault="008A5431" w:rsidP="00F40054">
      <w:pPr>
        <w:spacing w:line="242" w:lineRule="exact"/>
        <w:textAlignment w:val="baseline"/>
        <w:rPr>
          <w:rFonts w:eastAsia="Calibri" w:cstheme="minorHAnsi"/>
          <w:b/>
          <w:color w:val="006841"/>
          <w:sz w:val="24"/>
          <w:szCs w:val="24"/>
        </w:rPr>
      </w:pPr>
      <w:r w:rsidRPr="00BB602A">
        <w:rPr>
          <w:rFonts w:eastAsia="Calibri" w:cstheme="minorHAnsi"/>
          <w:color w:val="000000"/>
          <w:sz w:val="24"/>
          <w:szCs w:val="24"/>
        </w:rPr>
        <w:t>The Committee Chair</w:t>
      </w:r>
      <w:r w:rsidR="00D676CB">
        <w:rPr>
          <w:rFonts w:eastAsia="Calibri" w:cstheme="minorHAnsi"/>
          <w:color w:val="000000"/>
          <w:sz w:val="24"/>
          <w:szCs w:val="24"/>
        </w:rPr>
        <w:t>s</w:t>
      </w:r>
      <w:r w:rsidR="005A5BAF" w:rsidRPr="00BB602A">
        <w:rPr>
          <w:rFonts w:eastAsia="Calibri" w:cstheme="minorHAnsi"/>
          <w:color w:val="000000"/>
          <w:sz w:val="24"/>
          <w:szCs w:val="24"/>
        </w:rPr>
        <w:t xml:space="preserve"> will work with the </w:t>
      </w:r>
      <w:proofErr w:type="gramStart"/>
      <w:r w:rsidR="00D676CB">
        <w:rPr>
          <w:rFonts w:eastAsia="Calibri" w:cstheme="minorHAnsi"/>
          <w:color w:val="000000"/>
          <w:sz w:val="24"/>
          <w:szCs w:val="24"/>
        </w:rPr>
        <w:t>C</w:t>
      </w:r>
      <w:r w:rsidR="005A5BAF" w:rsidRPr="00BB602A">
        <w:rPr>
          <w:rFonts w:eastAsia="Calibri" w:cstheme="minorHAnsi"/>
          <w:color w:val="000000"/>
          <w:sz w:val="24"/>
          <w:szCs w:val="24"/>
        </w:rPr>
        <w:t>oordinator</w:t>
      </w:r>
      <w:proofErr w:type="gramEnd"/>
      <w:r w:rsidR="005A5BAF" w:rsidRPr="00BB602A">
        <w:rPr>
          <w:rFonts w:eastAsia="Calibri" w:cstheme="minorHAnsi"/>
          <w:color w:val="000000"/>
          <w:sz w:val="24"/>
          <w:szCs w:val="24"/>
        </w:rPr>
        <w:t xml:space="preserve"> to </w:t>
      </w:r>
      <w:r w:rsidRPr="00BB602A">
        <w:rPr>
          <w:rFonts w:eastAsia="Calibri" w:cstheme="minorHAnsi"/>
          <w:color w:val="000000"/>
          <w:sz w:val="24"/>
          <w:szCs w:val="24"/>
        </w:rPr>
        <w:t xml:space="preserve">assign </w:t>
      </w:r>
      <w:r w:rsidR="00D676CB">
        <w:rPr>
          <w:rFonts w:eastAsia="Calibri" w:cstheme="minorHAnsi"/>
          <w:color w:val="000000"/>
          <w:sz w:val="24"/>
          <w:szCs w:val="24"/>
        </w:rPr>
        <w:t xml:space="preserve">at least </w:t>
      </w:r>
      <w:r w:rsidRPr="00BB602A">
        <w:rPr>
          <w:rFonts w:eastAsia="Calibri" w:cstheme="minorHAnsi"/>
          <w:color w:val="000000"/>
          <w:sz w:val="24"/>
          <w:szCs w:val="24"/>
        </w:rPr>
        <w:t xml:space="preserve">two </w:t>
      </w:r>
      <w:r w:rsidR="00D676CB">
        <w:rPr>
          <w:rFonts w:eastAsia="Calibri" w:cstheme="minorHAnsi"/>
          <w:color w:val="000000"/>
          <w:sz w:val="24"/>
          <w:szCs w:val="24"/>
        </w:rPr>
        <w:t xml:space="preserve">committee </w:t>
      </w:r>
      <w:r w:rsidRPr="00BB602A">
        <w:rPr>
          <w:rFonts w:eastAsia="Calibri" w:cstheme="minorHAnsi"/>
          <w:color w:val="000000"/>
          <w:sz w:val="24"/>
          <w:szCs w:val="24"/>
        </w:rPr>
        <w:t xml:space="preserve">members per application for adjudication reviewers.  Applications will be reviewed using the rubric in Canvas. </w:t>
      </w:r>
    </w:p>
    <w:p w14:paraId="4C6F56B2" w14:textId="7793CF85" w:rsidR="008A5431" w:rsidRPr="00BB602A" w:rsidRDefault="008A5431" w:rsidP="005A5BAF">
      <w:pPr>
        <w:spacing w:before="272" w:line="268" w:lineRule="exact"/>
        <w:ind w:right="576"/>
        <w:textAlignment w:val="baseline"/>
        <w:rPr>
          <w:rFonts w:eastAsia="Calibri" w:cstheme="minorHAnsi"/>
          <w:color w:val="000000"/>
          <w:sz w:val="24"/>
          <w:szCs w:val="24"/>
        </w:rPr>
      </w:pPr>
      <w:r w:rsidRPr="00BB602A">
        <w:rPr>
          <w:rFonts w:eastAsia="Calibri" w:cstheme="minorHAnsi"/>
          <w:color w:val="000000"/>
          <w:sz w:val="24"/>
          <w:szCs w:val="24"/>
        </w:rPr>
        <w:t xml:space="preserve">A </w:t>
      </w:r>
      <w:r w:rsidR="00D676CB">
        <w:rPr>
          <w:rFonts w:eastAsia="Calibri" w:cstheme="minorHAnsi"/>
          <w:color w:val="000000"/>
          <w:sz w:val="24"/>
          <w:szCs w:val="24"/>
        </w:rPr>
        <w:t>Committee m</w:t>
      </w:r>
      <w:r w:rsidRPr="00BB602A">
        <w:rPr>
          <w:rFonts w:eastAsia="Calibri" w:cstheme="minorHAnsi"/>
          <w:color w:val="000000"/>
          <w:sz w:val="24"/>
          <w:szCs w:val="24"/>
        </w:rPr>
        <w:t xml:space="preserve">ember cannot review or vote on applications from his/her </w:t>
      </w:r>
      <w:r w:rsidR="00D676CB">
        <w:rPr>
          <w:rFonts w:eastAsia="Calibri" w:cstheme="minorHAnsi"/>
          <w:color w:val="000000"/>
          <w:sz w:val="24"/>
          <w:szCs w:val="24"/>
        </w:rPr>
        <w:t>d</w:t>
      </w:r>
      <w:r w:rsidRPr="00BB602A">
        <w:rPr>
          <w:rFonts w:eastAsia="Calibri" w:cstheme="minorHAnsi"/>
          <w:color w:val="000000"/>
          <w:sz w:val="24"/>
          <w:szCs w:val="24"/>
        </w:rPr>
        <w:t xml:space="preserve">epartment. </w:t>
      </w:r>
      <w:r w:rsidR="00D676CB">
        <w:rPr>
          <w:rFonts w:eastAsia="Calibri" w:cstheme="minorHAnsi"/>
          <w:color w:val="000000"/>
          <w:sz w:val="24"/>
          <w:szCs w:val="24"/>
        </w:rPr>
        <w:t xml:space="preserve">In cases where committee members are applying for a USRA with a student from a different department, they may not review or vote on applications from their proposed student’s department. </w:t>
      </w:r>
      <w:r w:rsidRPr="00BB602A">
        <w:rPr>
          <w:rFonts w:eastAsia="Calibri" w:cstheme="minorHAnsi"/>
          <w:color w:val="000000"/>
          <w:sz w:val="24"/>
          <w:szCs w:val="24"/>
        </w:rPr>
        <w:t>In the case of applications received from the same College/School as a Committee member, a member may review or vote if deemed appropriate by the Chair.</w:t>
      </w:r>
      <w:r w:rsidR="00D676CB">
        <w:rPr>
          <w:rFonts w:eastAsia="Calibri" w:cstheme="minorHAnsi"/>
          <w:color w:val="000000"/>
          <w:sz w:val="24"/>
          <w:szCs w:val="24"/>
        </w:rPr>
        <w:t xml:space="preserve"> </w:t>
      </w:r>
    </w:p>
    <w:p w14:paraId="353D0690" w14:textId="6AB31D58" w:rsidR="008A5431" w:rsidRPr="00BB602A" w:rsidRDefault="008A5431" w:rsidP="008A5431">
      <w:pPr>
        <w:spacing w:before="263" w:line="269" w:lineRule="exact"/>
        <w:ind w:right="576"/>
        <w:textAlignment w:val="baseline"/>
        <w:rPr>
          <w:rFonts w:eastAsia="Calibri" w:cstheme="minorHAnsi"/>
          <w:color w:val="000000"/>
          <w:sz w:val="24"/>
          <w:szCs w:val="24"/>
        </w:rPr>
      </w:pPr>
      <w:r w:rsidRPr="00BB602A">
        <w:rPr>
          <w:rFonts w:eastAsia="Calibri" w:cstheme="minorHAnsi"/>
          <w:color w:val="000000"/>
          <w:sz w:val="24"/>
          <w:szCs w:val="24"/>
        </w:rPr>
        <w:t>In cases when the Committee is split on its decision to support the application, the Chair</w:t>
      </w:r>
      <w:r w:rsidR="00D676CB">
        <w:rPr>
          <w:rFonts w:eastAsia="Calibri" w:cstheme="minorHAnsi"/>
          <w:color w:val="000000"/>
          <w:sz w:val="24"/>
          <w:szCs w:val="24"/>
        </w:rPr>
        <w:t>s</w:t>
      </w:r>
      <w:r w:rsidRPr="00BB602A">
        <w:rPr>
          <w:rFonts w:eastAsia="Calibri" w:cstheme="minorHAnsi"/>
          <w:color w:val="000000"/>
          <w:sz w:val="24"/>
          <w:szCs w:val="24"/>
        </w:rPr>
        <w:t xml:space="preserve"> may solicit a third review from the Committee membership</w:t>
      </w:r>
      <w:r w:rsidR="00BB602A" w:rsidRPr="00BB602A">
        <w:rPr>
          <w:rFonts w:eastAsia="Calibri" w:cstheme="minorHAnsi"/>
          <w:color w:val="000000"/>
          <w:sz w:val="24"/>
          <w:szCs w:val="24"/>
        </w:rPr>
        <w:t>.</w:t>
      </w:r>
    </w:p>
    <w:p w14:paraId="3EE22C27" w14:textId="5E42C391" w:rsidR="0021580D" w:rsidRDefault="0021580D" w:rsidP="00F40054">
      <w:pPr>
        <w:pStyle w:val="Heading2"/>
      </w:pPr>
      <w:r>
        <w:t>CONFLICT OF INTEREST</w:t>
      </w:r>
    </w:p>
    <w:p w14:paraId="66F2A01C" w14:textId="6C4135D9" w:rsidR="0021580D" w:rsidRDefault="0021580D" w:rsidP="0021580D">
      <w:pPr>
        <w:spacing w:after="0" w:line="268" w:lineRule="exact"/>
        <w:textAlignment w:val="baseline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Committee Members must disclose any conflicts of interest, or perceived conflicts of interest to the Chair</w:t>
      </w:r>
      <w:r w:rsidR="00D676CB">
        <w:rPr>
          <w:rFonts w:eastAsia="Calibri" w:cstheme="minorHAnsi"/>
          <w:bCs/>
          <w:sz w:val="24"/>
          <w:szCs w:val="24"/>
        </w:rPr>
        <w:t>s</w:t>
      </w:r>
      <w:r>
        <w:rPr>
          <w:rFonts w:eastAsia="Calibri" w:cstheme="minorHAnsi"/>
          <w:bCs/>
          <w:sz w:val="24"/>
          <w:szCs w:val="24"/>
        </w:rPr>
        <w:t xml:space="preserve">. </w:t>
      </w:r>
    </w:p>
    <w:p w14:paraId="653D556E" w14:textId="137BCC37" w:rsidR="0021580D" w:rsidRPr="0021580D" w:rsidRDefault="0021580D" w:rsidP="008A5431">
      <w:pPr>
        <w:spacing w:before="269" w:line="268" w:lineRule="exact"/>
        <w:textAlignment w:val="baseline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Adjudicators may still put forward student applications to the NSERC USRA </w:t>
      </w:r>
      <w:r w:rsidR="00835EF2">
        <w:rPr>
          <w:rFonts w:eastAsia="Calibri" w:cstheme="minorHAnsi"/>
          <w:bCs/>
          <w:sz w:val="24"/>
          <w:szCs w:val="24"/>
        </w:rPr>
        <w:t>process but</w:t>
      </w:r>
      <w:r>
        <w:rPr>
          <w:rFonts w:eastAsia="Calibri" w:cstheme="minorHAnsi"/>
          <w:bCs/>
          <w:sz w:val="24"/>
          <w:szCs w:val="24"/>
        </w:rPr>
        <w:t xml:space="preserve"> must excuse themselves from any committee discussion relating to their students. </w:t>
      </w:r>
    </w:p>
    <w:p w14:paraId="01319B55" w14:textId="1FE8EFFA" w:rsidR="008A5431" w:rsidRPr="00BB602A" w:rsidRDefault="008A5431" w:rsidP="008A5431">
      <w:pPr>
        <w:spacing w:before="269" w:line="268" w:lineRule="exact"/>
        <w:textAlignment w:val="baseline"/>
        <w:rPr>
          <w:rFonts w:eastAsia="Calibri" w:cstheme="minorHAnsi"/>
          <w:color w:val="000000"/>
          <w:sz w:val="24"/>
          <w:szCs w:val="24"/>
        </w:rPr>
      </w:pPr>
      <w:r w:rsidRPr="00F40054">
        <w:rPr>
          <w:rStyle w:val="Heading2Char"/>
        </w:rPr>
        <w:t xml:space="preserve">MEMBER RESPONSIBILITIES and MEETING SCHEDULE </w:t>
      </w:r>
      <w:r w:rsidRPr="00F40054">
        <w:rPr>
          <w:rStyle w:val="Heading2Char"/>
        </w:rPr>
        <w:br/>
      </w:r>
      <w:r w:rsidRPr="00BB602A">
        <w:rPr>
          <w:rFonts w:eastAsia="Calibri" w:cstheme="minorHAnsi"/>
          <w:color w:val="000000"/>
          <w:sz w:val="24"/>
          <w:szCs w:val="24"/>
        </w:rPr>
        <w:t xml:space="preserve">The Committee will meet in January to review the adjudication process and </w:t>
      </w:r>
      <w:r w:rsidR="00D676CB">
        <w:rPr>
          <w:rFonts w:eastAsia="Calibri" w:cstheme="minorHAnsi"/>
          <w:color w:val="000000"/>
          <w:sz w:val="24"/>
          <w:szCs w:val="24"/>
        </w:rPr>
        <w:t>calibrate</w:t>
      </w:r>
      <w:r w:rsidRPr="00BB602A">
        <w:rPr>
          <w:rFonts w:eastAsia="Calibri" w:cstheme="minorHAnsi"/>
          <w:color w:val="000000"/>
          <w:sz w:val="24"/>
          <w:szCs w:val="24"/>
        </w:rPr>
        <w:t xml:space="preserve"> their application of the rubric. </w:t>
      </w:r>
    </w:p>
    <w:p w14:paraId="6720B743" w14:textId="1CA41611" w:rsidR="008A5431" w:rsidRPr="00BB602A" w:rsidRDefault="008A5431" w:rsidP="008A5431">
      <w:pPr>
        <w:spacing w:before="269" w:line="268" w:lineRule="exact"/>
        <w:textAlignment w:val="baseline"/>
        <w:rPr>
          <w:rFonts w:eastAsia="Calibri" w:cstheme="minorHAnsi"/>
          <w:color w:val="000000"/>
          <w:sz w:val="24"/>
          <w:szCs w:val="24"/>
        </w:rPr>
      </w:pPr>
      <w:r w:rsidRPr="00BB602A">
        <w:rPr>
          <w:rFonts w:eastAsia="Calibri" w:cstheme="minorHAnsi"/>
          <w:color w:val="000000"/>
          <w:sz w:val="24"/>
          <w:szCs w:val="24"/>
        </w:rPr>
        <w:t xml:space="preserve">Committee members will </w:t>
      </w:r>
      <w:r w:rsidR="00BB602A" w:rsidRPr="00BB602A">
        <w:rPr>
          <w:rFonts w:eastAsia="Calibri" w:cstheme="minorHAnsi"/>
          <w:color w:val="000000"/>
          <w:sz w:val="24"/>
          <w:szCs w:val="24"/>
        </w:rPr>
        <w:t xml:space="preserve">have at least </w:t>
      </w:r>
      <w:r w:rsidR="00D676CB">
        <w:rPr>
          <w:rFonts w:eastAsia="Calibri" w:cstheme="minorHAnsi"/>
          <w:color w:val="000000"/>
          <w:sz w:val="24"/>
          <w:szCs w:val="24"/>
        </w:rPr>
        <w:t>one week</w:t>
      </w:r>
      <w:r w:rsidRPr="00BB602A">
        <w:rPr>
          <w:rFonts w:eastAsia="Calibri" w:cstheme="minorHAnsi"/>
          <w:color w:val="000000"/>
          <w:sz w:val="24"/>
          <w:szCs w:val="24"/>
        </w:rPr>
        <w:t xml:space="preserve"> to evaluate their assigned applications</w:t>
      </w:r>
      <w:r w:rsidR="00BB602A" w:rsidRPr="00BB602A">
        <w:rPr>
          <w:rFonts w:eastAsia="Calibri" w:cstheme="minorHAnsi"/>
          <w:color w:val="000000"/>
          <w:sz w:val="24"/>
          <w:szCs w:val="24"/>
        </w:rPr>
        <w:t>.</w:t>
      </w:r>
    </w:p>
    <w:p w14:paraId="6D2365B2" w14:textId="18C47139" w:rsidR="008A5431" w:rsidRPr="00BB602A" w:rsidRDefault="008A5431" w:rsidP="008A5431">
      <w:pPr>
        <w:spacing w:before="269" w:line="268" w:lineRule="exact"/>
        <w:textAlignment w:val="baseline"/>
        <w:rPr>
          <w:rFonts w:eastAsia="Calibri" w:cstheme="minorHAnsi"/>
          <w:color w:val="000000"/>
          <w:sz w:val="24"/>
          <w:szCs w:val="24"/>
        </w:rPr>
      </w:pPr>
      <w:r w:rsidRPr="00BB602A">
        <w:rPr>
          <w:rFonts w:eastAsia="Calibri" w:cstheme="minorHAnsi"/>
          <w:color w:val="000000"/>
          <w:sz w:val="24"/>
          <w:szCs w:val="24"/>
        </w:rPr>
        <w:t xml:space="preserve">The Committee will meet in February to discuss the ranking of students and any close or contentious applications. A second meeting will be held if more time is required to </w:t>
      </w:r>
      <w:r w:rsidR="00835EF2" w:rsidRPr="00BB602A">
        <w:rPr>
          <w:rFonts w:eastAsia="Calibri" w:cstheme="minorHAnsi"/>
          <w:color w:val="000000"/>
          <w:sz w:val="24"/>
          <w:szCs w:val="24"/>
        </w:rPr>
        <w:t>finalize decisions</w:t>
      </w:r>
      <w:r w:rsidRPr="00BB602A">
        <w:rPr>
          <w:rFonts w:eastAsia="Calibri" w:cstheme="minorHAnsi"/>
          <w:color w:val="000000"/>
          <w:sz w:val="24"/>
          <w:szCs w:val="24"/>
        </w:rPr>
        <w:t>. The Adjudication meetings will be scheduled at least one month in advance.</w:t>
      </w:r>
    </w:p>
    <w:p w14:paraId="6E613FDB" w14:textId="77777777" w:rsidR="0021580D" w:rsidRDefault="008A5431" w:rsidP="00F40054">
      <w:pPr>
        <w:pStyle w:val="Heading2"/>
      </w:pPr>
      <w:r w:rsidRPr="00BB602A">
        <w:t>REVIEW</w:t>
      </w:r>
    </w:p>
    <w:p w14:paraId="08D706D8" w14:textId="019FE6AE" w:rsidR="008A5431" w:rsidRPr="0021580D" w:rsidRDefault="008A5431" w:rsidP="0021580D">
      <w:pPr>
        <w:spacing w:after="0" w:line="268" w:lineRule="exact"/>
        <w:textAlignment w:val="baseline"/>
        <w:rPr>
          <w:rFonts w:eastAsia="Calibri" w:cstheme="minorHAnsi"/>
          <w:b/>
          <w:color w:val="006841"/>
          <w:sz w:val="24"/>
          <w:szCs w:val="24"/>
        </w:rPr>
      </w:pPr>
      <w:r w:rsidRPr="00BB602A">
        <w:rPr>
          <w:rFonts w:eastAsia="Calibri" w:cstheme="minorHAnsi"/>
          <w:bCs/>
          <w:color w:val="000000"/>
          <w:sz w:val="24"/>
          <w:szCs w:val="24"/>
        </w:rPr>
        <w:t xml:space="preserve">This Terms of Reference should be reviewed following the adjudication process for 2024. </w:t>
      </w:r>
    </w:p>
    <w:p w14:paraId="3C2E5228" w14:textId="77777777" w:rsidR="008A5431" w:rsidRPr="00BB602A" w:rsidRDefault="008A5431" w:rsidP="008A5431">
      <w:pPr>
        <w:spacing w:before="269" w:line="268" w:lineRule="exact"/>
        <w:textAlignment w:val="baseline"/>
        <w:rPr>
          <w:rFonts w:eastAsia="Calibri" w:cstheme="minorHAnsi"/>
          <w:bCs/>
          <w:color w:val="000000"/>
          <w:sz w:val="24"/>
          <w:szCs w:val="24"/>
        </w:rPr>
      </w:pPr>
    </w:p>
    <w:p w14:paraId="7C1B9030" w14:textId="77777777" w:rsidR="00BB602A" w:rsidRDefault="00BB602A" w:rsidP="00BB602A"/>
    <w:p w14:paraId="2AEEEB53" w14:textId="77777777" w:rsidR="00BB602A" w:rsidRPr="00BB602A" w:rsidRDefault="00BB602A" w:rsidP="00BB602A"/>
    <w:sectPr w:rsidR="00BB602A" w:rsidRPr="00BB6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A36"/>
    <w:multiLevelType w:val="multilevel"/>
    <w:tmpl w:val="119E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B1023"/>
    <w:multiLevelType w:val="multilevel"/>
    <w:tmpl w:val="99340D02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F71AE1"/>
    <w:multiLevelType w:val="hybridMultilevel"/>
    <w:tmpl w:val="7F682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A5CE34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06AE5"/>
    <w:multiLevelType w:val="hybridMultilevel"/>
    <w:tmpl w:val="5BD69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5340D"/>
    <w:multiLevelType w:val="hybridMultilevel"/>
    <w:tmpl w:val="1642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40BBB"/>
    <w:multiLevelType w:val="hybridMultilevel"/>
    <w:tmpl w:val="BCAA6130"/>
    <w:lvl w:ilvl="0" w:tplc="9D9848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E1DFC"/>
    <w:multiLevelType w:val="hybridMultilevel"/>
    <w:tmpl w:val="03EE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B05E6"/>
    <w:multiLevelType w:val="hybridMultilevel"/>
    <w:tmpl w:val="0174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62E5E"/>
    <w:multiLevelType w:val="multilevel"/>
    <w:tmpl w:val="2E94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B147B3"/>
    <w:multiLevelType w:val="multilevel"/>
    <w:tmpl w:val="9DF2D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797FE1"/>
    <w:multiLevelType w:val="multilevel"/>
    <w:tmpl w:val="5644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AA185B"/>
    <w:multiLevelType w:val="hybridMultilevel"/>
    <w:tmpl w:val="0A245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6A8E"/>
    <w:multiLevelType w:val="hybridMultilevel"/>
    <w:tmpl w:val="2B56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0599F"/>
    <w:multiLevelType w:val="multilevel"/>
    <w:tmpl w:val="9DF2D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691B4C"/>
    <w:multiLevelType w:val="hybridMultilevel"/>
    <w:tmpl w:val="D2E6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F37B8"/>
    <w:multiLevelType w:val="hybridMultilevel"/>
    <w:tmpl w:val="A79C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B6791"/>
    <w:multiLevelType w:val="hybridMultilevel"/>
    <w:tmpl w:val="08889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2748B"/>
    <w:multiLevelType w:val="hybridMultilevel"/>
    <w:tmpl w:val="BE9C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D6636"/>
    <w:multiLevelType w:val="hybridMultilevel"/>
    <w:tmpl w:val="58CE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F6D9A"/>
    <w:multiLevelType w:val="hybridMultilevel"/>
    <w:tmpl w:val="45BED6FC"/>
    <w:lvl w:ilvl="0" w:tplc="CBCA96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BF696E"/>
    <w:multiLevelType w:val="hybridMultilevel"/>
    <w:tmpl w:val="FB30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04A1A"/>
    <w:multiLevelType w:val="hybridMultilevel"/>
    <w:tmpl w:val="8BA4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64332"/>
    <w:multiLevelType w:val="hybridMultilevel"/>
    <w:tmpl w:val="2910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856309">
    <w:abstractNumId w:val="19"/>
  </w:num>
  <w:num w:numId="2" w16cid:durableId="13771193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2840047">
    <w:abstractNumId w:val="19"/>
  </w:num>
  <w:num w:numId="4" w16cid:durableId="1361928482">
    <w:abstractNumId w:val="7"/>
  </w:num>
  <w:num w:numId="5" w16cid:durableId="861826530">
    <w:abstractNumId w:val="13"/>
  </w:num>
  <w:num w:numId="6" w16cid:durableId="1542859785">
    <w:abstractNumId w:val="2"/>
  </w:num>
  <w:num w:numId="7" w16cid:durableId="1082096625">
    <w:abstractNumId w:val="3"/>
  </w:num>
  <w:num w:numId="8" w16cid:durableId="1437484211">
    <w:abstractNumId w:val="5"/>
  </w:num>
  <w:num w:numId="9" w16cid:durableId="1146321302">
    <w:abstractNumId w:val="12"/>
  </w:num>
  <w:num w:numId="10" w16cid:durableId="1237013905">
    <w:abstractNumId w:val="14"/>
  </w:num>
  <w:num w:numId="11" w16cid:durableId="333997417">
    <w:abstractNumId w:val="11"/>
  </w:num>
  <w:num w:numId="12" w16cid:durableId="475536229">
    <w:abstractNumId w:val="4"/>
  </w:num>
  <w:num w:numId="13" w16cid:durableId="1159266854">
    <w:abstractNumId w:val="8"/>
  </w:num>
  <w:num w:numId="14" w16cid:durableId="693115756">
    <w:abstractNumId w:val="0"/>
  </w:num>
  <w:num w:numId="15" w16cid:durableId="329219968">
    <w:abstractNumId w:val="10"/>
  </w:num>
  <w:num w:numId="16" w16cid:durableId="433597324">
    <w:abstractNumId w:val="17"/>
  </w:num>
  <w:num w:numId="17" w16cid:durableId="1433167611">
    <w:abstractNumId w:val="18"/>
  </w:num>
  <w:num w:numId="18" w16cid:durableId="1991403236">
    <w:abstractNumId w:val="21"/>
  </w:num>
  <w:num w:numId="19" w16cid:durableId="2061588766">
    <w:abstractNumId w:val="1"/>
  </w:num>
  <w:num w:numId="20" w16cid:durableId="1500458827">
    <w:abstractNumId w:val="6"/>
  </w:num>
  <w:num w:numId="21" w16cid:durableId="799421192">
    <w:abstractNumId w:val="22"/>
  </w:num>
  <w:num w:numId="22" w16cid:durableId="1435243022">
    <w:abstractNumId w:val="16"/>
  </w:num>
  <w:num w:numId="23" w16cid:durableId="1473063383">
    <w:abstractNumId w:val="15"/>
  </w:num>
  <w:num w:numId="24" w16cid:durableId="9069643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D4"/>
    <w:rsid w:val="000D731F"/>
    <w:rsid w:val="0021580D"/>
    <w:rsid w:val="0031178B"/>
    <w:rsid w:val="00316DD4"/>
    <w:rsid w:val="003C2A25"/>
    <w:rsid w:val="004E69E5"/>
    <w:rsid w:val="00541992"/>
    <w:rsid w:val="005A5BAF"/>
    <w:rsid w:val="006B2929"/>
    <w:rsid w:val="006B7171"/>
    <w:rsid w:val="007331F9"/>
    <w:rsid w:val="007D3BA3"/>
    <w:rsid w:val="00835EF2"/>
    <w:rsid w:val="00864AC9"/>
    <w:rsid w:val="008A5431"/>
    <w:rsid w:val="008B26D9"/>
    <w:rsid w:val="009144E9"/>
    <w:rsid w:val="00984579"/>
    <w:rsid w:val="00A14DD9"/>
    <w:rsid w:val="00A15ADD"/>
    <w:rsid w:val="00A22463"/>
    <w:rsid w:val="00B500C6"/>
    <w:rsid w:val="00B97734"/>
    <w:rsid w:val="00BB2E7B"/>
    <w:rsid w:val="00BB602A"/>
    <w:rsid w:val="00BB671D"/>
    <w:rsid w:val="00C03F5E"/>
    <w:rsid w:val="00C3209E"/>
    <w:rsid w:val="00D21166"/>
    <w:rsid w:val="00D676CB"/>
    <w:rsid w:val="00E21948"/>
    <w:rsid w:val="00F22BDA"/>
    <w:rsid w:val="00F4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2EB1"/>
  <w15:chartTrackingRefBased/>
  <w15:docId w15:val="{88C4CAA1-7391-47F7-B0E1-5BB50EEE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316DD4"/>
    <w:pPr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DD4"/>
    <w:pPr>
      <w:keepNext/>
      <w:keepLines/>
      <w:spacing w:before="40" w:after="0"/>
      <w:outlineLvl w:val="1"/>
    </w:pPr>
    <w:rPr>
      <w:rFonts w:asciiTheme="majorHAnsi" w:eastAsia="Calibri" w:hAnsiTheme="majorHAnsi" w:cstheme="majorBidi"/>
      <w:color w:val="00684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DD4"/>
    <w:pPr>
      <w:keepNext/>
      <w:keepLines/>
      <w:spacing w:before="40" w:after="0"/>
      <w:outlineLvl w:val="2"/>
    </w:pPr>
    <w:rPr>
      <w:rFonts w:asciiTheme="majorHAnsi" w:eastAsia="Calibri" w:hAnsiTheme="majorHAnsi" w:cstheme="majorBidi"/>
      <w:color w:val="00684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D4"/>
    <w:pPr>
      <w:spacing w:after="0" w:line="240" w:lineRule="auto"/>
      <w:ind w:left="720"/>
    </w:pPr>
  </w:style>
  <w:style w:type="paragraph" w:customStyle="1" w:styleId="Style1">
    <w:name w:val="Style 1"/>
    <w:basedOn w:val="Normal"/>
    <w:link w:val="Style1Char"/>
    <w:rsid w:val="00316DD4"/>
    <w:pPr>
      <w:jc w:val="center"/>
    </w:pPr>
    <w:rPr>
      <w:rFonts w:eastAsia="Calibri" w:cstheme="minorHAnsi"/>
      <w:b/>
      <w:color w:val="006841"/>
      <w:sz w:val="24"/>
      <w:szCs w:val="24"/>
    </w:rPr>
  </w:style>
  <w:style w:type="character" w:customStyle="1" w:styleId="Style1Char">
    <w:name w:val="Style 1 Char"/>
    <w:basedOn w:val="DefaultParagraphFont"/>
    <w:link w:val="Style1"/>
    <w:rsid w:val="00316DD4"/>
    <w:rPr>
      <w:rFonts w:eastAsia="Calibri" w:cstheme="minorHAnsi"/>
      <w:b/>
      <w:color w:val="00684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6DD4"/>
    <w:rPr>
      <w:rFonts w:asciiTheme="majorHAnsi" w:eastAsia="Calibri" w:hAnsiTheme="majorHAnsi" w:cstheme="majorBidi"/>
      <w:color w:val="00684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16DD4"/>
    <w:pPr>
      <w:spacing w:after="0" w:line="240" w:lineRule="auto"/>
      <w:contextualSpacing/>
    </w:pPr>
    <w:rPr>
      <w:rFonts w:asciiTheme="majorHAnsi" w:eastAsia="Calibri" w:hAnsiTheme="majorHAnsi" w:cstheme="majorBidi"/>
      <w:color w:val="00684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6DD4"/>
    <w:rPr>
      <w:rFonts w:asciiTheme="majorHAnsi" w:eastAsia="Calibri" w:hAnsiTheme="majorHAnsi" w:cstheme="majorBidi"/>
      <w:color w:val="006841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16DD4"/>
    <w:rPr>
      <w:rFonts w:asciiTheme="majorHAnsi" w:eastAsia="Calibri" w:hAnsiTheme="majorHAnsi" w:cstheme="majorBidi"/>
      <w:color w:val="00684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6DD4"/>
    <w:rPr>
      <w:rFonts w:asciiTheme="majorHAnsi" w:eastAsia="Calibri" w:hAnsiTheme="majorHAnsi" w:cstheme="majorBidi"/>
      <w:color w:val="00684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199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C2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2116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6B2929"/>
    <w:rPr>
      <w:b/>
      <w:bCs/>
    </w:rPr>
  </w:style>
  <w:style w:type="paragraph" w:customStyle="1" w:styleId="first-child">
    <w:name w:val="first-child"/>
    <w:basedOn w:val="Normal"/>
    <w:rsid w:val="006B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A5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5431"/>
    <w:pPr>
      <w:spacing w:after="0" w:line="240" w:lineRule="auto"/>
    </w:pPr>
    <w:rPr>
      <w:rFonts w:ascii="Times New Roman" w:eastAsia="PMingLiU" w:hAnsi="Times New Roman" w:cs="Times New Roman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5431"/>
    <w:rPr>
      <w:rFonts w:ascii="Times New Roman" w:eastAsia="PMingLiU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02A"/>
    <w:pPr>
      <w:spacing w:after="160"/>
    </w:pPr>
    <w:rPr>
      <w:rFonts w:asciiTheme="minorHAnsi" w:eastAsiaTheme="minorHAnsi" w:hAnsiTheme="minorHAnsi" w:cstheme="minorBidi"/>
      <w:b/>
      <w:bCs/>
      <w:kern w:val="2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02A"/>
    <w:rPr>
      <w:rFonts w:ascii="Times New Roman" w:eastAsia="PMingLiU" w:hAnsi="Times New Roman" w:cs="Times New Roman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0D731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40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dy.fehr@usask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urveymonkey.ca/r/PQKBYY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59EF7-CD69-456A-BA6D-182F0487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Fehr, Mandy</dc:creator>
  <cp:keywords/>
  <dc:description/>
  <cp:lastModifiedBy>Fehr, Mandy</cp:lastModifiedBy>
  <cp:revision>2</cp:revision>
  <dcterms:created xsi:type="dcterms:W3CDTF">2024-01-08T20:49:00Z</dcterms:created>
  <dcterms:modified xsi:type="dcterms:W3CDTF">2024-01-08T20:49:00Z</dcterms:modified>
</cp:coreProperties>
</file>